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FF70">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506607</w:t>
      </w:r>
      <w:bookmarkStart w:id="6" w:name="_GoBack"/>
      <w:bookmarkEnd w:id="6"/>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3ADB2E0B">
      <w:pPr>
        <w:tabs>
          <w:tab w:val="left" w:pos="1985"/>
        </w:tabs>
        <w:rPr>
          <w:rFonts w:ascii="Times New Roman" w:hAnsi="Times New Roman"/>
          <w:b/>
          <w:sz w:val="22"/>
          <w:highlight w:val="none"/>
        </w:rPr>
      </w:pPr>
    </w:p>
    <w:p w14:paraId="7027D5FD">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5</w:t>
      </w:r>
    </w:p>
    <w:p w14:paraId="1FCBB455">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4BA4A0E5">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positioning accuracy enhancement</w:t>
      </w:r>
    </w:p>
    <w:bookmarkEnd w:id="4"/>
    <w:bookmarkEnd w:id="5"/>
    <w:p w14:paraId="5949F04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5B7223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FDD65FA">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 xml:space="preserve">The </w:t>
      </w:r>
      <w:r>
        <w:rPr>
          <w:rFonts w:hint="eastAsia" w:ascii="Times New Roman" w:hAnsi="Times New Roman"/>
          <w:sz w:val="20"/>
          <w:szCs w:val="20"/>
          <w:lang w:val="en-US" w:eastAsia="zh-CN"/>
        </w:rPr>
        <w:t xml:space="preserve">related </w:t>
      </w:r>
      <w:r>
        <w:rPr>
          <w:rFonts w:ascii="Times New Roman" w:hAnsi="Times New Roman"/>
          <w:sz w:val="20"/>
          <w:szCs w:val="20"/>
        </w:rPr>
        <w:t>objectives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59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43462263">
            <w:pPr>
              <w:numPr>
                <w:ilvl w:val="0"/>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Positioning accuracy enhancements, encompassing [RAN1/RAN2/RAN3]:</w:t>
            </w:r>
          </w:p>
          <w:p w14:paraId="15DC6D1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Direct AI/ML positioning:</w:t>
            </w:r>
          </w:p>
          <w:p w14:paraId="6B494076">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1: </w:t>
            </w:r>
            <w:r>
              <w:rPr>
                <w:rFonts w:hint="default" w:ascii="Times New Roman" w:hAnsi="Times New Roman" w:cs="Times New Roman"/>
                <w:sz w:val="20"/>
                <w:szCs w:val="20"/>
              </w:rPr>
              <w:t>UE-based positioning with UE-side model, direct AI/ML positioning</w:t>
            </w:r>
          </w:p>
          <w:p w14:paraId="7BDC2844">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Case 2b: </w:t>
            </w:r>
            <w:r>
              <w:rPr>
                <w:rFonts w:hint="default" w:ascii="Times New Roman" w:hAnsi="Times New Roman" w:cs="Times New Roman"/>
                <w:sz w:val="20"/>
                <w:szCs w:val="20"/>
              </w:rPr>
              <w:t>UE-assisted/LMF-based positioning with LMF-side model, direct AI/ML positioning</w:t>
            </w:r>
          </w:p>
          <w:p w14:paraId="3FAB9B49">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3b:</w:t>
            </w:r>
            <w:r>
              <w:rPr>
                <w:rFonts w:hint="default" w:ascii="Times New Roman" w:hAnsi="Times New Roman" w:cs="Times New Roman"/>
                <w:sz w:val="20"/>
                <w:szCs w:val="20"/>
              </w:rPr>
              <w:t xml:space="preserve"> NG-RAN node assisted positioning with LMF-side model, direct AI/ML positioning</w:t>
            </w:r>
          </w:p>
          <w:p w14:paraId="49DB225B">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AI/ML assisted positioning </w:t>
            </w:r>
            <w:r>
              <w:rPr>
                <w:rFonts w:hint="default" w:ascii="Times New Roman" w:hAnsi="Times New Roman" w:cs="Times New Roman"/>
                <w:bCs/>
                <w:sz w:val="20"/>
                <w:szCs w:val="20"/>
              </w:rPr>
              <w:tab/>
            </w:r>
            <w:r>
              <w:rPr>
                <w:rFonts w:hint="default" w:ascii="Times New Roman" w:hAnsi="Times New Roman" w:cs="Times New Roman"/>
                <w:bCs/>
                <w:sz w:val="20"/>
                <w:szCs w:val="20"/>
              </w:rPr>
              <w:tab/>
            </w:r>
            <w:r>
              <w:rPr>
                <w:rFonts w:hint="default" w:ascii="Times New Roman" w:hAnsi="Times New Roman" w:cs="Times New Roman"/>
                <w:bCs/>
                <w:sz w:val="20"/>
                <w:szCs w:val="20"/>
              </w:rPr>
              <w:t xml:space="preserve"> </w:t>
            </w:r>
          </w:p>
          <w:p w14:paraId="0E84C7E6">
            <w:pPr>
              <w:numPr>
                <w:ilvl w:val="2"/>
                <w:numId w:val="4"/>
              </w:numPr>
              <w:spacing w:after="0"/>
              <w:rPr>
                <w:rFonts w:hint="default" w:ascii="Times New Roman" w:hAnsi="Times New Roman" w:cs="Times New Roman"/>
                <w:bCs/>
                <w:color w:val="BFBFBF"/>
                <w:sz w:val="20"/>
                <w:szCs w:val="20"/>
              </w:rPr>
            </w:pPr>
            <w:r>
              <w:rPr>
                <w:rFonts w:hint="default" w:ascii="Times New Roman" w:hAnsi="Times New Roman" w:cs="Times New Roman"/>
                <w:bCs/>
                <w:sz w:val="20"/>
                <w:szCs w:val="20"/>
              </w:rPr>
              <w:t>(2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Case 2a: </w:t>
            </w:r>
            <w:r>
              <w:rPr>
                <w:rFonts w:hint="default" w:ascii="Times New Roman" w:hAnsi="Times New Roman" w:cs="Times New Roman"/>
                <w:sz w:val="20"/>
                <w:szCs w:val="20"/>
              </w:rPr>
              <w:t>UE-assisted/LMF-based positioning with UE-side model, AI/ML assisted positioning</w:t>
            </w:r>
            <w:r>
              <w:rPr>
                <w:rFonts w:hint="default" w:ascii="Times New Roman" w:hAnsi="Times New Roman" w:cs="Times New Roman"/>
                <w:bCs/>
                <w:color w:val="BFBFBF"/>
                <w:sz w:val="20"/>
                <w:szCs w:val="20"/>
              </w:rPr>
              <w:tab/>
            </w:r>
          </w:p>
          <w:p w14:paraId="021F0259">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3a: </w:t>
            </w:r>
            <w:r>
              <w:rPr>
                <w:rFonts w:hint="default" w:ascii="Times New Roman" w:hAnsi="Times New Roman" w:cs="Times New Roman"/>
                <w:sz w:val="20"/>
                <w:szCs w:val="20"/>
              </w:rPr>
              <w:t>NG-RAN node assisted positioning with gNB-side model, AI/ML assisted positioning</w:t>
            </w:r>
          </w:p>
          <w:p w14:paraId="4628B73D">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measurements, signalling/mechanism(s) to facilitate LCM operations specific to the Positioning accuracy enhancements use cases, if any</w:t>
            </w:r>
          </w:p>
          <w:p w14:paraId="49DF7FA9">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Investigate and specify the necessary signalling of necessary measurement enhancements (if any)</w:t>
            </w:r>
          </w:p>
          <w:p w14:paraId="1A8B4DEA">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Enabling method(s) to ensure consistency between training and inference regarding NW-side additional conditions (if identified) for inference at UE for relevant positioning sub use cases</w:t>
            </w:r>
          </w:p>
          <w:p w14:paraId="607688E2">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RAN1 will not discuss any proposals targeting 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issues in Q4 of 2024.</w:t>
            </w:r>
          </w:p>
          <w:p w14:paraId="06277C74">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1B320D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9EF4F2C">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tc>
      </w:tr>
    </w:tbl>
    <w:p w14:paraId="6262D19C">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RRM </w:t>
      </w:r>
      <w:r>
        <w:rPr>
          <w:rFonts w:hint="eastAsia" w:ascii="Times New Roman" w:hAnsi="Times New Roman"/>
          <w:sz w:val="20"/>
          <w:szCs w:val="20"/>
          <w:lang w:val="en-US" w:eastAsia="zh-CN"/>
        </w:rPr>
        <w:t xml:space="preserve">core </w:t>
      </w:r>
      <w:r>
        <w:rPr>
          <w:rFonts w:hint="eastAsia" w:ascii="Times New Roman" w:hAnsi="Times New Roman"/>
          <w:sz w:val="20"/>
          <w:szCs w:val="20"/>
        </w:rPr>
        <w:t>requirements for positioning</w:t>
      </w:r>
      <w:r>
        <w:rPr>
          <w:rFonts w:hint="eastAsia" w:ascii="Times New Roman" w:hAnsi="Times New Roman"/>
          <w:sz w:val="20"/>
          <w:szCs w:val="20"/>
          <w:lang w:val="en-US" w:eastAsia="zh-CN"/>
        </w:rPr>
        <w:t xml:space="preserve"> accuracy enhancement</w:t>
      </w:r>
      <w:r>
        <w:rPr>
          <w:rFonts w:hint="eastAsia" w:ascii="Times New Roman" w:hAnsi="Times New Roman"/>
          <w:sz w:val="20"/>
          <w:szCs w:val="20"/>
        </w:rPr>
        <w:t>.</w:t>
      </w:r>
    </w:p>
    <w:p w14:paraId="2C9595C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96B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23DFB25">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2-1-1: Define a requirement on absolute position for case 1</w:t>
            </w:r>
          </w:p>
          <w:p w14:paraId="623DFB26">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6F43918E">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RAN4 will not define positioning accuracy requirements for case 1(direct UE positioning)</w:t>
            </w:r>
          </w:p>
          <w:p w14:paraId="7F7E9C7B">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RAN4 to further study how to define the requirements, companies are invited to bring concrete proposals on a requirements framework and next steps on how to define</w:t>
            </w:r>
          </w:p>
          <w:p w14:paraId="19F32609">
            <w:pPr>
              <w:pStyle w:val="15"/>
              <w:numPr>
                <w:ilvl w:val="1"/>
                <w:numId w:val="5"/>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sz w:val="20"/>
                <w:szCs w:val="20"/>
                <w:lang w:eastAsia="zh-CN"/>
              </w:rPr>
              <w:t>Option 3: others</w:t>
            </w:r>
          </w:p>
        </w:tc>
      </w:tr>
    </w:tbl>
    <w:p w14:paraId="59994B40">
      <w:pPr>
        <w:spacing w:after="180" w:line="240" w:lineRule="exact"/>
        <w:rPr>
          <w:rFonts w:hint="eastAsia" w:ascii="Times New Roman" w:hAnsi="Times New Roman" w:eastAsia="等线" w:cs="Times New Roman"/>
          <w:bCs/>
          <w:iCs/>
          <w:sz w:val="20"/>
          <w:szCs w:val="20"/>
          <w:lang w:val="en-US" w:eastAsia="zh-CN"/>
        </w:rPr>
      </w:pPr>
    </w:p>
    <w:p w14:paraId="41EC11D3">
      <w:pPr>
        <w:spacing w:after="180" w:line="240" w:lineRule="exact"/>
        <w:rPr>
          <w:rFonts w:hint="eastAsia" w:ascii="Times New Roman" w:hAnsi="Times New Roman"/>
          <w:bCs/>
          <w:iCs/>
          <w:sz w:val="20"/>
          <w:szCs w:val="20"/>
          <w:lang w:val="en-US" w:eastAsia="zh-CN"/>
        </w:rPr>
      </w:pPr>
      <w:r>
        <w:rPr>
          <w:rFonts w:hint="eastAsia" w:ascii="Times New Roman" w:hAnsi="Times New Roman"/>
          <w:bCs/>
          <w:iCs/>
          <w:sz w:val="20"/>
          <w:szCs w:val="20"/>
          <w:lang w:val="en-US" w:eastAsia="zh-CN"/>
        </w:rPr>
        <w:t xml:space="preserve">For case 1, we support to define requirements. Case 1 is </w:t>
      </w:r>
      <w:r>
        <w:rPr>
          <w:rFonts w:hint="eastAsia" w:ascii="Times New Roman" w:hAnsi="Times New Roman" w:eastAsia="等线"/>
          <w:bCs/>
          <w:iCs/>
          <w:sz w:val="20"/>
          <w:szCs w:val="20"/>
          <w:lang w:val="en-US" w:eastAsia="zh-CN"/>
        </w:rPr>
        <w:t>d</w:t>
      </w:r>
      <w:r>
        <w:rPr>
          <w:rFonts w:ascii="Times New Roman" w:hAnsi="Times New Roman"/>
          <w:bCs/>
          <w:iCs/>
          <w:sz w:val="20"/>
          <w:szCs w:val="20"/>
        </w:rPr>
        <w:t>irect AI/ML positioning</w:t>
      </w:r>
      <w:r>
        <w:rPr>
          <w:rFonts w:hint="eastAsia" w:ascii="Times New Roman" w:hAnsi="Times New Roman"/>
          <w:bCs/>
          <w:iCs/>
          <w:sz w:val="20"/>
          <w:szCs w:val="20"/>
          <w:lang w:val="en-US" w:eastAsia="zh-CN"/>
        </w:rPr>
        <w:t xml:space="preserve">. Different from assisted positioning, the output of AI/ML model is UE position, which is new for RAN4. This use case is representative and need to be verified. </w:t>
      </w:r>
    </w:p>
    <w:p w14:paraId="7E45362B">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discussion in previous meetings, proponents of option 1 have concern to define requirements for the reason that UE may not report positioning. Whether UE can report position is pending on progress in other WGs. </w:t>
      </w:r>
    </w:p>
    <w:p w14:paraId="6B538AD8">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From signalling point of view, it is already supported for UE to report position. As highlighted in blue as following duplicated RAN2 agreements, RAN2 agreed to reuse existing LPP procedures related to Location Information Transfer to provide the UE sided model inference results to network.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4C8E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26F3906">
            <w:pPr>
              <w:spacing w:after="180" w:line="240" w:lineRule="exact"/>
              <w:rPr>
                <w:rFonts w:hint="default" w:ascii="Times New Roman" w:hAnsi="Times New Roman" w:eastAsia="等线" w:cs="Times New Roman"/>
                <w:b/>
                <w:bCs w:val="0"/>
                <w:iCs/>
                <w:sz w:val="20"/>
                <w:szCs w:val="20"/>
                <w:highlight w:val="none"/>
                <w:vertAlign w:val="baseline"/>
                <w:lang w:val="en-US" w:eastAsia="zh-CN"/>
              </w:rPr>
            </w:pPr>
            <w:r>
              <w:rPr>
                <w:rFonts w:hint="default" w:ascii="Times New Roman" w:hAnsi="Times New Roman" w:eastAsia="等线" w:cs="Times New Roman"/>
                <w:b/>
                <w:bCs w:val="0"/>
                <w:iCs/>
                <w:sz w:val="20"/>
                <w:szCs w:val="20"/>
                <w:highlight w:val="none"/>
                <w:vertAlign w:val="baseline"/>
                <w:lang w:val="en-US" w:eastAsia="zh-CN"/>
              </w:rPr>
              <w:t>Agreements in RAN2#12</w:t>
            </w:r>
            <w:r>
              <w:rPr>
                <w:rFonts w:hint="eastAsia" w:ascii="Times New Roman" w:hAnsi="Times New Roman" w:eastAsia="等线" w:cs="Times New Roman"/>
                <w:b/>
                <w:bCs w:val="0"/>
                <w:iCs/>
                <w:sz w:val="20"/>
                <w:szCs w:val="20"/>
                <w:highlight w:val="none"/>
                <w:vertAlign w:val="baseline"/>
                <w:lang w:val="en-US" w:eastAsia="zh-CN"/>
              </w:rPr>
              <w:t>9</w:t>
            </w:r>
            <w:r>
              <w:rPr>
                <w:rFonts w:hint="default" w:ascii="Times New Roman" w:hAnsi="Times New Roman" w:eastAsia="等线" w:cs="Times New Roman"/>
                <w:b/>
                <w:bCs w:val="0"/>
                <w:iCs/>
                <w:sz w:val="20"/>
                <w:szCs w:val="20"/>
                <w:highlight w:val="none"/>
                <w:vertAlign w:val="baseline"/>
                <w:lang w:val="en-US" w:eastAsia="zh-CN"/>
              </w:rPr>
              <w:t xml:space="preserve"> meeting</w:t>
            </w:r>
          </w:p>
          <w:p w14:paraId="1253EC4D">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eastAsia" w:ascii="Times New Roman" w:hAnsi="Times New Roman" w:eastAsia="等线" w:cs="Times New Roman"/>
                <w:bCs/>
                <w:iCs/>
                <w:sz w:val="20"/>
                <w:szCs w:val="20"/>
                <w:highlight w:val="none"/>
                <w:vertAlign w:val="baseline"/>
                <w:lang w:val="en-US" w:eastAsia="zh-CN"/>
              </w:rPr>
              <w:t>1</w:t>
            </w:r>
            <w:r>
              <w:rPr>
                <w:rFonts w:hint="default" w:ascii="Times New Roman" w:hAnsi="Times New Roman" w:eastAsia="等线" w:cs="Times New Roman"/>
                <w:bCs/>
                <w:iCs/>
                <w:sz w:val="20"/>
                <w:szCs w:val="20"/>
                <w:highlight w:val="none"/>
                <w:vertAlign w:val="baseline"/>
                <w:lang w:val="en-US" w:eastAsia="zh-CN"/>
              </w:rPr>
              <w:t>:</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Introduce AI/ML positioning Case 1 as a new positioning method.</w:t>
            </w:r>
          </w:p>
          <w:p w14:paraId="527DC380">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2:</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cyan"/>
                <w:vertAlign w:val="baseline"/>
                <w:lang w:val="en-US" w:eastAsia="zh-CN"/>
              </w:rPr>
              <w:t>Existing LPP procedures related to Location Information Transfer (RequestLocationInformation/ ProvideLocationInformation messages) are used for providing and requesting the results of the UE sided model inference operation</w:t>
            </w:r>
            <w:r>
              <w:rPr>
                <w:rFonts w:hint="default" w:ascii="Times New Roman" w:hAnsi="Times New Roman" w:eastAsia="等线" w:cs="Times New Roman"/>
                <w:bCs/>
                <w:iCs/>
                <w:sz w:val="20"/>
                <w:szCs w:val="20"/>
                <w:highlight w:val="none"/>
                <w:vertAlign w:val="baseline"/>
                <w:lang w:val="en-US" w:eastAsia="zh-CN"/>
              </w:rPr>
              <w:t>. The detail stage 3 message extention can be disucssed while drafting the stage 3 CR.</w:t>
            </w:r>
          </w:p>
          <w:p w14:paraId="29099D05">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3:</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FFS UE autonomous switching between AI/ML and non-AI/ML methods is not allowed.  FFS if this is unconditional or linked to condition of multiple positioning method are not configured in RequestLocationInformation,</w:t>
            </w:r>
          </w:p>
          <w:p w14:paraId="13972CD2">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 xml:space="preserve">4: </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The content of error cause is discussed while drafting stage3 CRs.</w:t>
            </w:r>
          </w:p>
          <w:p w14:paraId="30230565">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 xml:space="preserve">5: </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9A8FF7E">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 xml:space="preserve">6: </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UE reports the applicable functionality to the LMF by the LPP provide capabilities message if there is a change of applicable functionality.   FFS if any additional LMF control is needed.</w:t>
            </w:r>
          </w:p>
        </w:tc>
      </w:tr>
    </w:tbl>
    <w:p w14:paraId="4AAC6BEB">
      <w:pPr>
        <w:spacing w:after="180" w:line="240" w:lineRule="exact"/>
        <w:rPr>
          <w:rFonts w:hint="eastAsia" w:ascii="Times New Roman" w:hAnsi="Times New Roman" w:eastAsia="等线" w:cs="Times New Roman"/>
          <w:bCs/>
          <w:iCs/>
          <w:sz w:val="20"/>
          <w:szCs w:val="20"/>
          <w:lang w:val="en-US" w:eastAsia="zh-CN"/>
        </w:rPr>
      </w:pPr>
    </w:p>
    <w:p w14:paraId="0D10F72B">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Following is the duplication of RAN1 agreements. It can be seen that one of the options (option B-1) is that inference results of the target UE is sent by the target UE to LMF.  Even though this is for model performance monitoring, but at least it can be seen that the inference results can be reported to LMF if option B-1 is adopted. Taking above into consideration, it is proposed to define </w:t>
      </w:r>
      <w:r>
        <w:rPr>
          <w:rFonts w:hint="default" w:ascii="Times New Roman" w:hAnsi="Times New Roman" w:eastAsia="宋体" w:cs="Times New Roman"/>
          <w:color w:val="auto"/>
          <w:sz w:val="20"/>
          <w:szCs w:val="20"/>
          <w:lang w:eastAsia="zh-CN"/>
        </w:rPr>
        <w:t>requirements for case 1</w:t>
      </w:r>
      <w:r>
        <w:rPr>
          <w:rFonts w:hint="default" w:ascii="Times New Roman" w:hAnsi="Times New Roman" w:eastAsia="Yu Mincho" w:cs="Times New Roman"/>
          <w:color w:val="auto"/>
          <w:sz w:val="20"/>
          <w:szCs w:val="20"/>
          <w:lang w:eastAsia="ja-JP"/>
        </w:rPr>
        <w:t xml:space="preserve"> </w:t>
      </w:r>
      <w:r>
        <w:rPr>
          <w:rFonts w:hint="eastAsia" w:ascii="Times New Roman" w:hAnsi="Times New Roman" w:eastAsia="等线" w:cs="Times New Roman"/>
          <w:bCs/>
          <w:iCs/>
          <w:sz w:val="20"/>
          <w:szCs w:val="20"/>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CB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2C8F637">
            <w:pPr>
              <w:ind w:left="0" w:firstLine="0"/>
              <w:rPr>
                <w:rFonts w:hint="default" w:ascii="Times New Roman" w:hAnsi="Times New Roman" w:eastAsia="等线" w:cs="Times New Roman"/>
                <w:b/>
                <w:bCs/>
                <w:sz w:val="20"/>
                <w:szCs w:val="20"/>
                <w:highlight w:val="none"/>
                <w:lang w:val="en-US" w:eastAsia="zh-CN"/>
              </w:rPr>
            </w:pPr>
            <w:r>
              <w:rPr>
                <w:rFonts w:hint="default" w:ascii="Times New Roman" w:hAnsi="Times New Roman" w:eastAsia="等线" w:cs="Times New Roman"/>
                <w:b/>
                <w:bCs/>
                <w:sz w:val="20"/>
                <w:szCs w:val="20"/>
                <w:highlight w:val="none"/>
                <w:lang w:val="en-US" w:eastAsia="zh-CN"/>
              </w:rPr>
              <w:t>Agreement</w:t>
            </w:r>
            <w:r>
              <w:rPr>
                <w:rFonts w:hint="default" w:ascii="Times New Roman" w:hAnsi="Times New Roman" w:eastAsia="等线" w:cs="Times New Roman"/>
                <w:sz w:val="20"/>
                <w:szCs w:val="20"/>
                <w:highlight w:val="none"/>
                <w:lang w:val="en-US" w:eastAsia="zh-CN"/>
              </w:rPr>
              <w:t xml:space="preserve"> </w:t>
            </w:r>
            <w:r>
              <w:rPr>
                <w:rFonts w:hint="default" w:ascii="Times New Roman" w:hAnsi="Times New Roman" w:eastAsia="等线" w:cs="Times New Roman"/>
                <w:b/>
                <w:bCs/>
                <w:sz w:val="20"/>
                <w:szCs w:val="20"/>
                <w:highlight w:val="none"/>
                <w:lang w:val="en-US" w:eastAsia="zh-CN"/>
              </w:rPr>
              <w:t>in RAN1 #116bis</w:t>
            </w:r>
          </w:p>
          <w:p w14:paraId="2030F57F">
            <w:pPr>
              <w:ind w:left="0" w:firstLine="0"/>
              <w:rPr>
                <w:rFonts w:hint="default" w:ascii="Times New Roman" w:hAnsi="Times New Roman" w:eastAsia="等线" w:cs="Times New Roman"/>
                <w:b/>
                <w:bCs/>
                <w:sz w:val="20"/>
                <w:szCs w:val="20"/>
                <w:highlight w:val="green"/>
                <w:lang w:val="en-US" w:eastAsia="zh-CN"/>
              </w:rPr>
            </w:pPr>
          </w:p>
          <w:p w14:paraId="408E3D93">
            <w:pPr>
              <w:ind w:left="0" w:firstLine="0"/>
              <w:rPr>
                <w:rFonts w:hint="default" w:ascii="Times New Roman" w:hAnsi="Times New Roman" w:cs="Times New Roman"/>
                <w:strike/>
                <w:sz w:val="20"/>
                <w:szCs w:val="20"/>
              </w:rPr>
            </w:pPr>
            <w:r>
              <w:rPr>
                <w:rFonts w:hint="default"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Pr>
                <w:rFonts w:hint="default" w:ascii="Times New Roman" w:hAnsi="Times New Roman" w:eastAsia="等线" w:cs="Times New Roman"/>
                <w:sz w:val="20"/>
                <w:szCs w:val="20"/>
                <w:lang w:eastAsia="zh-CN"/>
              </w:rPr>
              <w:t xml:space="preserve">potential </w:t>
            </w:r>
            <w:r>
              <w:rPr>
                <w:rFonts w:hint="default" w:ascii="Times New Roman" w:hAnsi="Times New Roman" w:cs="Times New Roman"/>
                <w:sz w:val="20"/>
                <w:szCs w:val="20"/>
              </w:rPr>
              <w:t xml:space="preserve">specification impact of the following options with regard to how to generate information on ground truth label: </w:t>
            </w:r>
          </w:p>
          <w:p w14:paraId="45D6E4AA">
            <w:pPr>
              <w:widowControl w:val="0"/>
              <w:numPr>
                <w:ilvl w:val="0"/>
                <w:numId w:val="6"/>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 The target UE side performs monitoring metric calculation. </w:t>
            </w:r>
          </w:p>
          <w:p w14:paraId="26BC4E1B">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A-1. At least information on ground truth label of the target UE is generated by LMF and provided to the target UE. </w:t>
            </w:r>
          </w:p>
          <w:p w14:paraId="6A944CD4">
            <w:pPr>
              <w:widowControl w:val="0"/>
              <w:numPr>
                <w:ilvl w:val="2"/>
                <w:numId w:val="7"/>
              </w:numPr>
              <w:ind w:left="2360" w:hanging="5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one example, target UE and/or gNB sends measurement (e.g., legacy measurement) to LMF so that LMF can derive the information on ground truth label.</w:t>
            </w:r>
          </w:p>
          <w:p w14:paraId="42FEBC98">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A-2. At least position calculation assistance data (e.g., existing information for UE-based positioning method) is provided from LMF to the target UE.</w:t>
            </w:r>
          </w:p>
          <w:p w14:paraId="602C9E61">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A-3. Reuse Rel-18 assistance data transfer framework from LMF to the target UE, where the PRU measurement (e.g., legacy measurement) and the corresponding PRU location are sent via LMF to the target UE. </w:t>
            </w:r>
          </w:p>
          <w:p w14:paraId="54822F42">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A-4. PRU measurement (and the corresponding PRU location if not already known at the UE-side) are sent from PRU to the target UE side. </w:t>
            </w:r>
          </w:p>
          <w:p w14:paraId="20EDC36E">
            <w:pPr>
              <w:widowControl w:val="0"/>
              <w:numPr>
                <w:ilvl w:val="2"/>
                <w:numId w:val="7"/>
              </w:numPr>
              <w:ind w:left="2360" w:hanging="5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Option A-4 can be realized by implementation in a manner transparent to specification if the PRU sends information to the target UE side in a proprietary method.</w:t>
            </w:r>
          </w:p>
          <w:p w14:paraId="7250EF1D">
            <w:pPr>
              <w:widowControl w:val="0"/>
              <w:numPr>
                <w:ilvl w:val="0"/>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B. The LMF performs monitoring metric calculation.</w:t>
            </w:r>
          </w:p>
          <w:p w14:paraId="36A2095A">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 xml:space="preserve">Option B-1. </w:t>
            </w:r>
            <w:r>
              <w:rPr>
                <w:rFonts w:hint="default" w:ascii="Times New Roman" w:hAnsi="Times New Roman" w:cs="Times New Roman"/>
                <w:sz w:val="20"/>
                <w:szCs w:val="20"/>
                <w:lang w:val="en-US" w:eastAsia="zh-CN"/>
              </w:rPr>
              <w:t xml:space="preserve">at least </w:t>
            </w:r>
            <w:r>
              <w:rPr>
                <w:rFonts w:hint="default" w:ascii="Times New Roman" w:hAnsi="Times New Roman" w:eastAsia="宋体" w:cs="Times New Roman"/>
                <w:sz w:val="20"/>
                <w:szCs w:val="20"/>
                <w:lang w:val="en-US" w:eastAsia="zh-CN"/>
              </w:rPr>
              <w:t>inference result</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(i.e., the model output corresponding to target UE’s channel measurement) </w:t>
            </w:r>
            <w:r>
              <w:rPr>
                <w:rFonts w:hint="default" w:ascii="Times New Roman" w:hAnsi="Times New Roman" w:cs="Times New Roman"/>
                <w:sz w:val="20"/>
                <w:szCs w:val="20"/>
                <w:lang w:val="en-US" w:eastAsia="zh-CN"/>
              </w:rPr>
              <w:t>of the target UE</w:t>
            </w:r>
            <w:r>
              <w:rPr>
                <w:rFonts w:hint="default" w:ascii="Times New Roman" w:hAnsi="Times New Roman" w:eastAsia="宋体" w:cs="Times New Roman"/>
                <w:sz w:val="20"/>
                <w:szCs w:val="20"/>
                <w:lang w:val="en-US" w:eastAsia="zh-CN"/>
              </w:rPr>
              <w:t xml:space="preserve"> is sent by the target UE to </w:t>
            </w:r>
            <w:r>
              <w:rPr>
                <w:rFonts w:hint="default" w:ascii="Times New Roman" w:hAnsi="Times New Roman" w:cs="Times New Roman"/>
                <w:sz w:val="20"/>
                <w:szCs w:val="20"/>
                <w:lang w:val="en-US" w:eastAsia="zh-CN"/>
              </w:rPr>
              <w:t xml:space="preserve">LMF. </w:t>
            </w:r>
          </w:p>
          <w:p w14:paraId="7C17E1EA">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 xml:space="preserve">Option B-2. </w:t>
            </w:r>
            <w:r>
              <w:rPr>
                <w:rFonts w:hint="default" w:ascii="Times New Roman" w:hAnsi="Times New Roman" w:cs="Times New Roman"/>
                <w:sz w:val="20"/>
                <w:szCs w:val="20"/>
                <w:lang w:val="en-US" w:eastAsia="zh-CN"/>
              </w:rPr>
              <w:t>PRU</w:t>
            </w:r>
            <w:r>
              <w:rPr>
                <w:rFonts w:hint="default" w:ascii="Times New Roman" w:hAnsi="Times New Roman" w:eastAsia="宋体"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channel </w:t>
            </w:r>
            <w:r>
              <w:rPr>
                <w:rFonts w:hint="default" w:ascii="Times New Roman" w:hAnsi="Times New Roman" w:cs="Times New Roman"/>
                <w:sz w:val="20"/>
                <w:szCs w:val="20"/>
                <w:lang w:val="en-US" w:eastAsia="zh-CN"/>
              </w:rPr>
              <w:t>measurement is sent via LMF to the target UE</w:t>
            </w:r>
            <w:r>
              <w:rPr>
                <w:rFonts w:hint="default" w:ascii="Times New Roman" w:hAnsi="Times New Roman" w:eastAsia="宋体" w:cs="Times New Roman"/>
                <w:sz w:val="20"/>
                <w:szCs w:val="20"/>
                <w:lang w:val="en-US" w:eastAsia="zh-CN"/>
              </w:rPr>
              <w:t xml:space="preserve">, and the inference result (i.e., the model output corresponding to PRU’s channel measurement) is sent by the target UE to </w:t>
            </w:r>
            <w:r>
              <w:rPr>
                <w:rFonts w:hint="default" w:ascii="Times New Roman" w:hAnsi="Times New Roman" w:cs="Times New Roman"/>
                <w:sz w:val="20"/>
                <w:szCs w:val="20"/>
                <w:lang w:val="en-US" w:eastAsia="zh-CN"/>
              </w:rPr>
              <w:t>LMF.</w:t>
            </w:r>
          </w:p>
          <w:p w14:paraId="2275A9BC">
            <w:pPr>
              <w:ind w:left="0" w:firstLine="0"/>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Note: exact method to perform the monitoring metric calculation is up to implementation. </w:t>
            </w:r>
          </w:p>
          <w:p w14:paraId="1C61DB53">
            <w:pPr>
              <w:ind w:left="0" w:firstLine="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Other options are not precluded.</w:t>
            </w:r>
          </w:p>
          <w:p w14:paraId="70DA1071">
            <w:pPr>
              <w:spacing w:after="180" w:line="240" w:lineRule="exact"/>
              <w:rPr>
                <w:rFonts w:hint="default" w:ascii="Times New Roman" w:hAnsi="Times New Roman" w:eastAsia="等线" w:cs="Times New Roman"/>
                <w:bCs/>
                <w:iCs/>
                <w:sz w:val="20"/>
                <w:szCs w:val="20"/>
                <w:vertAlign w:val="baseline"/>
                <w:lang w:val="en-US" w:eastAsia="zh-CN"/>
              </w:rPr>
            </w:pPr>
          </w:p>
          <w:p w14:paraId="6CC1D332">
            <w:pPr>
              <w:rPr>
                <w:rFonts w:hint="default" w:ascii="Times New Roman" w:hAnsi="Times New Roman" w:eastAsia="等线" w:cs="Times New Roman"/>
                <w:b/>
                <w:bCs/>
                <w:sz w:val="20"/>
                <w:szCs w:val="20"/>
                <w:highlight w:val="none"/>
                <w:lang w:val="en-US" w:eastAsia="zh-CN"/>
              </w:rPr>
            </w:pPr>
            <w:r>
              <w:rPr>
                <w:rFonts w:hint="default" w:ascii="Times New Roman" w:hAnsi="Times New Roman" w:eastAsia="等线" w:cs="Times New Roman"/>
                <w:b/>
                <w:bCs/>
                <w:sz w:val="20"/>
                <w:szCs w:val="20"/>
                <w:highlight w:val="none"/>
                <w:lang w:eastAsia="zh-CN"/>
              </w:rPr>
              <w:t>Conclusion</w:t>
            </w:r>
            <w:r>
              <w:rPr>
                <w:rFonts w:hint="default" w:ascii="Times New Roman" w:hAnsi="Times New Roman" w:eastAsia="等线" w:cs="Times New Roman"/>
                <w:b/>
                <w:bCs/>
                <w:sz w:val="20"/>
                <w:szCs w:val="20"/>
                <w:highlight w:val="none"/>
                <w:lang w:val="en-US" w:eastAsia="zh-CN"/>
              </w:rPr>
              <w:t xml:space="preserve"> in RAN1 #118</w:t>
            </w:r>
          </w:p>
          <w:p w14:paraId="7A51AB83">
            <w:pPr>
              <w:rPr>
                <w:rFonts w:hint="default" w:ascii="Times New Roman" w:hAnsi="Times New Roman" w:cs="Times New Roman"/>
                <w:sz w:val="20"/>
                <w:szCs w:val="20"/>
              </w:rPr>
            </w:pPr>
            <w:r>
              <w:rPr>
                <w:rFonts w:hint="default" w:ascii="Times New Roman" w:hAnsi="Times New Roman" w:cs="Times New Roman"/>
                <w:sz w:val="20"/>
                <w:szCs w:val="20"/>
              </w:rPr>
              <w:t>For model performance monitoring of AI/ML positioning Case 1, for model performance monitoring metric calculation in label-based model monitoring,</w:t>
            </w:r>
          </w:p>
          <w:p w14:paraId="6F50236B">
            <w:pPr>
              <w:pStyle w:val="15"/>
              <w:numPr>
                <w:ilvl w:val="0"/>
                <w:numId w:val="8"/>
              </w:numPr>
              <w:suppressAutoHyphens/>
              <w:spacing w:after="160" w:line="276" w:lineRule="auto"/>
              <w:ind w:left="84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Calibri" w:cs="Times New Roman"/>
                <w:sz w:val="20"/>
                <w:szCs w:val="20"/>
                <w:lang w:val="de-DE"/>
              </w:rPr>
              <w:t>Option A-4 can be realized by implementation in a manner transparent to specification</w:t>
            </w:r>
            <w:r>
              <w:rPr>
                <w:rFonts w:hint="default" w:ascii="Times New Roman" w:hAnsi="Times New Roman" w:cs="Times New Roman"/>
                <w:sz w:val="20"/>
                <w:szCs w:val="20"/>
                <w:lang w:val="en-US"/>
              </w:rPr>
              <w:t xml:space="preserve"> </w:t>
            </w:r>
            <w:r>
              <w:rPr>
                <w:rFonts w:hint="default" w:ascii="Times New Roman" w:hAnsi="Times New Roman" w:eastAsia="Calibri" w:cs="Times New Roman"/>
                <w:sz w:val="20"/>
                <w:szCs w:val="20"/>
                <w:lang w:val="de-DE"/>
              </w:rPr>
              <w:t>specification if the PRU sends information to the target UE side in a proprietary method. No further discussion on</w:t>
            </w:r>
            <w:r>
              <w:rPr>
                <w:rFonts w:hint="default" w:ascii="Times New Roman" w:hAnsi="Times New Roman" w:cs="Times New Roman"/>
                <w:sz w:val="20"/>
                <w:szCs w:val="20"/>
                <w:lang w:val="en-US"/>
              </w:rPr>
              <w:t xml:space="preserve"> Option A-4.</w:t>
            </w:r>
          </w:p>
        </w:tc>
      </w:tr>
    </w:tbl>
    <w:p w14:paraId="1B8D1261">
      <w:pPr>
        <w:spacing w:after="180" w:line="240" w:lineRule="exact"/>
        <w:rPr>
          <w:rFonts w:hint="default" w:ascii="Times New Roman" w:hAnsi="Times New Roman" w:eastAsia="等线" w:cs="Times New Roman"/>
          <w:bCs/>
          <w:iCs/>
          <w:sz w:val="20"/>
          <w:szCs w:val="20"/>
          <w:lang w:val="en-US" w:eastAsia="zh-CN"/>
        </w:rPr>
      </w:pPr>
    </w:p>
    <w:p w14:paraId="3E5F5414">
      <w:pPr>
        <w:spacing w:after="180" w:line="240" w:lineRule="exact"/>
        <w:rPr>
          <w:rFonts w:hint="eastAsia" w:ascii="Times New Roman" w:hAnsi="Times New Roman"/>
          <w:bCs/>
          <w:iCs/>
          <w:sz w:val="20"/>
          <w:szCs w:val="20"/>
          <w:lang w:val="en-US" w:eastAsia="zh-CN"/>
        </w:rPr>
      </w:pPr>
      <w:r>
        <w:rPr>
          <w:rFonts w:hint="eastAsia" w:ascii="Times New Roman" w:hAnsi="Times New Roman"/>
          <w:bCs/>
          <w:iCs/>
          <w:sz w:val="20"/>
          <w:szCs w:val="20"/>
          <w:lang w:val="en-US" w:eastAsia="zh-CN"/>
        </w:rPr>
        <w:t>As for the details of reuirements for case 1. At least positioning accuracy can be condiered, which is the difference between ground truth (real position) and reported position. In detail, our initial consideration is that the positioning accuracy could be the difference in meters/sub-meters between reported position and ground truth labels in each dimension of x-axis and y-axis. But we are also open for other options. As for the ground truth labels, according to RAN1 discussion, LMF can derive the ground truth label, e.g. target UE and/or gNB sends measurement (e.g., legacy measurement) to LMF so that LMF can derive the information on ground truth label, or PRU can be considered. In the test, the ground truth could be settled by TE.</w:t>
      </w:r>
    </w:p>
    <w:p w14:paraId="6953888C">
      <w:pPr>
        <w:spacing w:after="180" w:line="240" w:lineRule="exact"/>
        <w:rPr>
          <w:rFonts w:hint="default" w:ascii="Times New Roman" w:hAnsi="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previous discussion, some company provide analysis and believe that it is not </w:t>
      </w:r>
      <w:r>
        <w:rPr>
          <w:rFonts w:hint="default" w:ascii="Times New Roman" w:hAnsi="Times New Roman" w:eastAsia="等线" w:cs="Times New Roman"/>
          <w:bCs/>
          <w:iCs/>
          <w:sz w:val="20"/>
          <w:szCs w:val="20"/>
          <w:lang w:val="en-US" w:eastAsia="zh-CN"/>
        </w:rPr>
        <w:t>feasib</w:t>
      </w:r>
      <w:r>
        <w:rPr>
          <w:rFonts w:hint="eastAsia" w:ascii="Times New Roman" w:hAnsi="Times New Roman" w:eastAsia="等线" w:cs="Times New Roman"/>
          <w:bCs/>
          <w:iCs/>
          <w:sz w:val="20"/>
          <w:szCs w:val="20"/>
          <w:lang w:val="en-US" w:eastAsia="zh-CN"/>
        </w:rPr>
        <w:t>le to define</w:t>
      </w:r>
      <w:r>
        <w:rPr>
          <w:rFonts w:hint="default" w:ascii="Times New Roman" w:hAnsi="Times New Roman" w:eastAsia="等线" w:cs="Times New Roman"/>
          <w:bCs/>
          <w:iCs/>
          <w:sz w:val="20"/>
          <w:szCs w:val="20"/>
          <w:lang w:val="en-US" w:eastAsia="zh-CN"/>
        </w:rPr>
        <w:t xml:space="preserve"> a general </w:t>
      </w:r>
      <w:r>
        <w:rPr>
          <w:rFonts w:hint="eastAsia" w:ascii="Times New Roman" w:hAnsi="Times New Roman" w:eastAsia="等线" w:cs="Times New Roman"/>
          <w:bCs/>
          <w:iCs/>
          <w:sz w:val="20"/>
          <w:szCs w:val="20"/>
          <w:lang w:val="en-US" w:eastAsia="zh-CN"/>
        </w:rPr>
        <w:t xml:space="preserve">positioning accuracy </w:t>
      </w:r>
      <w:r>
        <w:rPr>
          <w:rFonts w:hint="default" w:ascii="Times New Roman" w:hAnsi="Times New Roman" w:eastAsia="等线" w:cs="Times New Roman"/>
          <w:bCs/>
          <w:iCs/>
          <w:sz w:val="20"/>
          <w:szCs w:val="20"/>
          <w:lang w:val="en-US" w:eastAsia="zh-CN"/>
        </w:rPr>
        <w:t>requirement</w:t>
      </w:r>
      <w:r>
        <w:rPr>
          <w:rFonts w:hint="eastAsia" w:ascii="Times New Roman" w:hAnsi="Times New Roman" w:eastAsia="等线" w:cs="Times New Roman"/>
          <w:bCs/>
          <w:iCs/>
          <w:sz w:val="20"/>
          <w:szCs w:val="20"/>
          <w:lang w:val="en-US" w:eastAsia="zh-CN"/>
        </w:rPr>
        <w:t>s</w:t>
      </w:r>
      <w:r>
        <w:rPr>
          <w:rFonts w:hint="default" w:ascii="Times New Roman" w:hAnsi="Times New Roman" w:eastAsia="等线" w:cs="Times New Roman"/>
          <w:bCs/>
          <w:iCs/>
          <w:sz w:val="20"/>
          <w:szCs w:val="20"/>
          <w:lang w:val="en-US" w:eastAsia="zh-CN"/>
        </w:rPr>
        <w:t xml:space="preserve"> </w:t>
      </w:r>
      <w:r>
        <w:rPr>
          <w:rFonts w:hint="eastAsia" w:ascii="Times New Roman" w:hAnsi="Times New Roman" w:eastAsia="等线" w:cs="Times New Roman"/>
          <w:bCs/>
          <w:iCs/>
          <w:sz w:val="20"/>
          <w:szCs w:val="20"/>
          <w:lang w:val="en-US" w:eastAsia="zh-CN"/>
        </w:rPr>
        <w:t xml:space="preserve">which can be applied to </w:t>
      </w:r>
      <w:r>
        <w:rPr>
          <w:rFonts w:hint="default" w:ascii="Times New Roman" w:hAnsi="Times New Roman" w:eastAsia="等线" w:cs="Times New Roman"/>
          <w:bCs/>
          <w:iCs/>
          <w:sz w:val="20"/>
          <w:szCs w:val="20"/>
          <w:lang w:val="en-US" w:eastAsia="zh-CN"/>
        </w:rPr>
        <w:t>different scenarios</w:t>
      </w:r>
      <w:r>
        <w:rPr>
          <w:rFonts w:hint="eastAsia" w:ascii="Times New Roman" w:hAnsi="Times New Roman" w:eastAsia="等线" w:cs="Times New Roman"/>
          <w:bCs/>
          <w:iCs/>
          <w:sz w:val="20"/>
          <w:szCs w:val="20"/>
          <w:lang w:val="en-US" w:eastAsia="zh-CN"/>
        </w:rPr>
        <w:t xml:space="preserve"> [12]</w:t>
      </w:r>
      <w:r>
        <w:rPr>
          <w:rFonts w:hint="default" w:ascii="Times New Roman" w:hAnsi="Times New Roman" w:eastAsia="等线" w:cs="Times New Roman"/>
          <w:bCs/>
          <w:iCs/>
          <w:sz w:val="20"/>
          <w:szCs w:val="20"/>
          <w:lang w:val="en-US" w:eastAsia="zh-CN"/>
        </w:rPr>
        <w:t>.</w:t>
      </w:r>
      <w:r>
        <w:rPr>
          <w:rFonts w:hint="eastAsia" w:ascii="Times New Roman" w:hAnsi="Times New Roman" w:eastAsia="等线" w:cs="Times New Roman"/>
          <w:bCs/>
          <w:iCs/>
          <w:sz w:val="20"/>
          <w:szCs w:val="20"/>
          <w:lang w:val="en-US" w:eastAsia="zh-CN"/>
        </w:rPr>
        <w:t xml:space="preserve"> In our view , more discussion is needed. Firstly, the simulation in [7] is based on DL-TDoA based method, which means the positioning performance based AI/ML model is not evaluated. We are not sure whether it is a good way to make  conclusion for AI/ML based positioning based on the simulation resluts of DL-TDoA. Secondly, it is mentioned in [7] that another reaon that not feasible to define requirements is that the generalization capability of direct AI/ML positioning is not very good. However, generalization is not a typical issue for positioning, it is a high level issue that all the use cases based on AI/ML need to face. Even though it is not feasible to define</w:t>
      </w:r>
      <w:r>
        <w:rPr>
          <w:rFonts w:hint="default" w:ascii="Times New Roman" w:hAnsi="Times New Roman" w:eastAsia="等线" w:cs="Times New Roman"/>
          <w:bCs/>
          <w:iCs/>
          <w:sz w:val="20"/>
          <w:szCs w:val="20"/>
          <w:lang w:val="en-US" w:eastAsia="zh-CN"/>
        </w:rPr>
        <w:t xml:space="preserve"> a general </w:t>
      </w:r>
      <w:r>
        <w:rPr>
          <w:rFonts w:hint="eastAsia" w:ascii="Times New Roman" w:hAnsi="Times New Roman" w:eastAsia="等线" w:cs="Times New Roman"/>
          <w:bCs/>
          <w:iCs/>
          <w:sz w:val="20"/>
          <w:szCs w:val="20"/>
          <w:lang w:val="en-US" w:eastAsia="zh-CN"/>
        </w:rPr>
        <w:t xml:space="preserve">positioning accuracy </w:t>
      </w:r>
      <w:r>
        <w:rPr>
          <w:rFonts w:hint="default" w:ascii="Times New Roman" w:hAnsi="Times New Roman" w:eastAsia="等线" w:cs="Times New Roman"/>
          <w:bCs/>
          <w:iCs/>
          <w:sz w:val="20"/>
          <w:szCs w:val="20"/>
          <w:lang w:val="en-US" w:eastAsia="zh-CN"/>
        </w:rPr>
        <w:t>requirement</w:t>
      </w:r>
      <w:r>
        <w:rPr>
          <w:rFonts w:hint="eastAsia" w:ascii="Times New Roman" w:hAnsi="Times New Roman" w:eastAsia="等线" w:cs="Times New Roman"/>
          <w:bCs/>
          <w:iCs/>
          <w:sz w:val="20"/>
          <w:szCs w:val="20"/>
          <w:lang w:val="en-US" w:eastAsia="zh-CN"/>
        </w:rPr>
        <w:t>s</w:t>
      </w:r>
      <w:r>
        <w:rPr>
          <w:rFonts w:hint="default" w:ascii="Times New Roman" w:hAnsi="Times New Roman" w:eastAsia="等线" w:cs="Times New Roman"/>
          <w:bCs/>
          <w:iCs/>
          <w:sz w:val="20"/>
          <w:szCs w:val="20"/>
          <w:lang w:val="en-US" w:eastAsia="zh-CN"/>
        </w:rPr>
        <w:t xml:space="preserve"> </w:t>
      </w:r>
      <w:r>
        <w:rPr>
          <w:rFonts w:hint="eastAsia" w:ascii="Times New Roman" w:hAnsi="Times New Roman" w:eastAsia="等线" w:cs="Times New Roman"/>
          <w:bCs/>
          <w:iCs/>
          <w:sz w:val="20"/>
          <w:szCs w:val="20"/>
          <w:lang w:val="en-US" w:eastAsia="zh-CN"/>
        </w:rPr>
        <w:t xml:space="preserve">which can be applied to </w:t>
      </w:r>
      <w:r>
        <w:rPr>
          <w:rFonts w:hint="default" w:ascii="Times New Roman" w:hAnsi="Times New Roman" w:eastAsia="等线" w:cs="Times New Roman"/>
          <w:bCs/>
          <w:iCs/>
          <w:sz w:val="20"/>
          <w:szCs w:val="20"/>
          <w:lang w:val="en-US" w:eastAsia="zh-CN"/>
        </w:rPr>
        <w:t>different scenarios</w:t>
      </w:r>
      <w:r>
        <w:rPr>
          <w:rFonts w:hint="eastAsia" w:ascii="Times New Roman" w:hAnsi="Times New Roman" w:eastAsia="等线" w:cs="Times New Roman"/>
          <w:bCs/>
          <w:iCs/>
          <w:sz w:val="20"/>
          <w:szCs w:val="20"/>
          <w:lang w:val="en-US" w:eastAsia="zh-CN"/>
        </w:rPr>
        <w:t xml:space="preserve">, scenario specific requirements can be considered. In RAN1 evaluation, the IIoT indoor factory (InF) scenario is a prioritized. Specifically, InF-DH sub-scenario is prioritized for FR1 and FR2. At least, it is proposed to define accuracy requirements for indoor factory (InF) scenario.  </w:t>
      </w:r>
    </w:p>
    <w:p w14:paraId="514F28E4">
      <w:pPr>
        <w:spacing w:after="180" w:line="240" w:lineRule="exact"/>
        <w:rPr>
          <w:rFonts w:hint="eastAsia" w:ascii="Times New Roman" w:hAnsi="Times New Roman"/>
          <w:b/>
          <w:bCs w:val="0"/>
          <w:i/>
          <w:iCs w:val="0"/>
          <w:sz w:val="20"/>
          <w:szCs w:val="20"/>
          <w:u w:val="none"/>
          <w:lang w:val="en-US" w:eastAsia="zh-CN"/>
        </w:rPr>
      </w:pPr>
      <w:r>
        <w:rPr>
          <w:rFonts w:hint="eastAsia" w:ascii="Times New Roman" w:hAnsi="Times New Roman" w:eastAsia="等线" w:cs="Times New Roman"/>
          <w:b/>
          <w:bCs w:val="0"/>
          <w:i/>
          <w:iCs w:val="0"/>
          <w:sz w:val="20"/>
          <w:szCs w:val="20"/>
          <w:u w:val="none"/>
          <w:lang w:val="en-US" w:eastAsia="zh-CN"/>
        </w:rPr>
        <w:t xml:space="preserve">Proposal 1: for case 1, it is proposed to define </w:t>
      </w:r>
      <w:r>
        <w:rPr>
          <w:rFonts w:hint="eastAsia" w:ascii="Times New Roman" w:hAnsi="Times New Roman"/>
          <w:b/>
          <w:bCs w:val="0"/>
          <w:i/>
          <w:iCs w:val="0"/>
          <w:sz w:val="20"/>
          <w:szCs w:val="20"/>
          <w:u w:val="none"/>
          <w:lang w:val="en-US" w:eastAsia="zh-CN"/>
        </w:rPr>
        <w:t>positioning accuracy requirement, which is the difference between ground truth (real position) and reported position.</w:t>
      </w:r>
    </w:p>
    <w:p w14:paraId="42AC2C0D">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lang w:val="en-US" w:eastAsia="zh-CN"/>
        </w:rPr>
      </w:pPr>
      <w:r>
        <w:rPr>
          <w:rFonts w:hint="eastAsia" w:ascii="Times New Roman" w:hAnsi="Times New Roman"/>
          <w:b/>
          <w:bCs w:val="0"/>
          <w:i/>
          <w:iCs w:val="0"/>
          <w:sz w:val="20"/>
          <w:szCs w:val="20"/>
          <w:u w:val="none"/>
          <w:lang w:val="en-US" w:eastAsia="zh-CN"/>
        </w:rPr>
        <w:t xml:space="preserve">At least </w:t>
      </w:r>
      <w:r>
        <w:rPr>
          <w:rFonts w:hint="eastAsia" w:ascii="Times New Roman" w:hAnsi="Times New Roman" w:eastAsia="等线" w:cs="Times New Roman"/>
          <w:b/>
          <w:bCs w:val="0"/>
          <w:i/>
          <w:iCs w:val="0"/>
          <w:sz w:val="20"/>
          <w:szCs w:val="20"/>
          <w:u w:val="none"/>
          <w:lang w:val="en-US" w:eastAsia="zh-CN"/>
        </w:rPr>
        <w:t>accuracy requirements for indoor factory (InF) scenario can be defined</w:t>
      </w:r>
    </w:p>
    <w:p w14:paraId="0EED6C66">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beam management, it was agreed in RAN4 #113 meeting that prediction delay includes measurement for prediction, inference delay, and FFS for other components. Similarly, prediction delay need to be defined for case 1 when LMF request the results of the UE sided model inference operation. The prediction delay at least include PRS measurement for prediction, inference delay. As for the report delay, whether and how to consider it can be further discussed.</w:t>
      </w:r>
    </w:p>
    <w:p w14:paraId="559FA0E6">
      <w:pPr>
        <w:spacing w:after="180" w:line="240" w:lineRule="exact"/>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Apart from inference delay, LCM related delay also need to be considered. For </w:t>
      </w:r>
      <w:r>
        <w:rPr>
          <w:rFonts w:hint="default" w:ascii="Times New Roman" w:hAnsi="Times New Roman" w:cs="Times New Roman"/>
          <w:sz w:val="20"/>
          <w:szCs w:val="20"/>
        </w:rPr>
        <w:t>model performance monitoring of AI/ML positioning Case 1</w:t>
      </w:r>
      <w:r>
        <w:rPr>
          <w:rFonts w:hint="eastAsia" w:ascii="Times New Roman" w:hAnsi="Times New Roman" w:cs="Times New Roman"/>
          <w:sz w:val="20"/>
          <w:szCs w:val="20"/>
          <w:lang w:val="en-US" w:eastAsia="zh-CN"/>
        </w:rPr>
        <w:t xml:space="preserve">, RAN1 agreed that target UE </w:t>
      </w:r>
      <w:r>
        <w:rPr>
          <w:rFonts w:hint="default" w:ascii="Times New Roman" w:hAnsi="Times New Roman" w:cs="Times New Roman"/>
          <w:sz w:val="20"/>
          <w:szCs w:val="20"/>
        </w:rPr>
        <w:t>side performs monitoring metric calculation</w:t>
      </w:r>
      <w:r>
        <w:rPr>
          <w:rFonts w:hint="eastAsia" w:ascii="Times New Roman" w:hAnsi="Times New Roman" w:cs="Times New Roman"/>
          <w:sz w:val="20"/>
          <w:szCs w:val="20"/>
          <w:lang w:val="en-US" w:eastAsia="zh-CN"/>
        </w:rPr>
        <w:t xml:space="preserve"> is supported, and the target UE </w:t>
      </w:r>
      <w:r>
        <w:rPr>
          <w:rFonts w:hint="default" w:ascii="Times New Roman" w:hAnsi="Times New Roman" w:eastAsia="等线" w:cs="Times New Roman"/>
          <w:sz w:val="20"/>
          <w:szCs w:val="20"/>
          <w:lang w:eastAsia="zh-CN"/>
        </w:rPr>
        <w:t>may</w:t>
      </w:r>
      <w:r>
        <w:rPr>
          <w:rFonts w:hint="default" w:ascii="Times New Roman" w:hAnsi="Times New Roman" w:cs="Times New Roman"/>
          <w:sz w:val="20"/>
          <w:szCs w:val="20"/>
        </w:rPr>
        <w:t xml:space="preserve"> signal the monitoring outcome to the LMF</w:t>
      </w:r>
      <w:r>
        <w:rPr>
          <w:rFonts w:hint="eastAsia" w:ascii="Times New Roman" w:hAnsi="Times New Roman" w:cs="Times New Roman"/>
          <w:sz w:val="20"/>
          <w:szCs w:val="20"/>
          <w:lang w:val="en-US" w:eastAsia="zh-CN"/>
        </w:rPr>
        <w:t xml:space="preserve">. Whether monitoring related requirements need to be defined can be further discussed.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94A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5A9EEE6">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RAN1 agreements in RAN1#119 meeting</w:t>
            </w:r>
          </w:p>
          <w:p w14:paraId="3A7014C0">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94C3A93">
            <w:pPr>
              <w:rPr>
                <w:rFonts w:hint="default" w:ascii="Times New Roman" w:hAnsi="Times New Roman" w:cs="Times New Roman"/>
                <w:sz w:val="20"/>
                <w:szCs w:val="20"/>
              </w:rPr>
            </w:pPr>
            <w:r>
              <w:rPr>
                <w:rFonts w:hint="default" w:ascii="Times New Roman" w:hAnsi="Times New Roman" w:cs="Times New Roman"/>
                <w:sz w:val="20"/>
                <w:szCs w:val="20"/>
              </w:rPr>
              <w:t xml:space="preserve">For model performance monitoring of AI/ML positioning Case 1, support at least: </w:t>
            </w:r>
          </w:p>
          <w:p w14:paraId="75D51925">
            <w:pPr>
              <w:widowControl w:val="0"/>
              <w:numPr>
                <w:ilvl w:val="0"/>
                <w:numId w:val="10"/>
              </w:numPr>
              <w:tabs>
                <w:tab w:val="left" w:pos="0"/>
                <w:tab w:val="clear" w:pos="-360"/>
              </w:tabs>
              <w:suppressAutoHyphens/>
              <w:spacing w:after="80"/>
              <w:ind w:left="720"/>
              <w:rPr>
                <w:rFonts w:hint="default" w:ascii="Times New Roman" w:hAnsi="Times New Roman" w:cs="Times New Roman"/>
                <w:sz w:val="20"/>
                <w:szCs w:val="20"/>
              </w:rPr>
            </w:pPr>
            <w:r>
              <w:rPr>
                <w:rFonts w:hint="default" w:ascii="Times New Roman" w:hAnsi="Times New Roman" w:cs="Times New Roman"/>
                <w:sz w:val="20"/>
                <w:szCs w:val="20"/>
              </w:rPr>
              <w:t xml:space="preserve">Option A. The target UE side performs monitoring metric calculation. </w:t>
            </w:r>
          </w:p>
          <w:p w14:paraId="44A15E02">
            <w:pPr>
              <w:widowControl w:val="0"/>
              <w:numPr>
                <w:ilvl w:val="1"/>
                <w:numId w:val="10"/>
              </w:numPr>
              <w:tabs>
                <w:tab w:val="left" w:pos="0"/>
                <w:tab w:val="clear" w:pos="-360"/>
              </w:tabs>
              <w:suppressAutoHyphens/>
              <w:spacing w:after="80"/>
              <w:ind w:left="1440"/>
              <w:rPr>
                <w:rFonts w:hint="default" w:ascii="Times New Roman" w:hAnsi="Times New Roman" w:cs="Times New Roman"/>
                <w:sz w:val="20"/>
                <w:szCs w:val="20"/>
              </w:rPr>
            </w:pPr>
            <w:r>
              <w:rPr>
                <w:rFonts w:hint="default" w:ascii="Times New Roman" w:hAnsi="Times New Roman" w:cs="Times New Roman"/>
                <w:sz w:val="20"/>
                <w:szCs w:val="20"/>
              </w:rPr>
              <w:t xml:space="preserve">The target UE </w:t>
            </w:r>
            <w:r>
              <w:rPr>
                <w:rFonts w:hint="default" w:ascii="Times New Roman" w:hAnsi="Times New Roman" w:eastAsia="等线" w:cs="Times New Roman"/>
                <w:sz w:val="20"/>
                <w:szCs w:val="20"/>
                <w:lang w:eastAsia="zh-CN"/>
              </w:rPr>
              <w:t>may</w:t>
            </w:r>
            <w:r>
              <w:rPr>
                <w:rFonts w:hint="default" w:ascii="Times New Roman" w:hAnsi="Times New Roman" w:cs="Times New Roman"/>
                <w:sz w:val="20"/>
                <w:szCs w:val="20"/>
              </w:rPr>
              <w:t xml:space="preserve"> signal the monitoring outcome to the LMF. </w:t>
            </w:r>
          </w:p>
          <w:p w14:paraId="68C1CCD4">
            <w:pPr>
              <w:widowControl w:val="0"/>
              <w:numPr>
                <w:ilvl w:val="1"/>
                <w:numId w:val="10"/>
              </w:numPr>
              <w:tabs>
                <w:tab w:val="left" w:pos="0"/>
                <w:tab w:val="clear" w:pos="-360"/>
              </w:tabs>
              <w:suppressAutoHyphens/>
              <w:spacing w:after="80"/>
              <w:ind w:left="1440"/>
              <w:rPr>
                <w:rFonts w:hint="default" w:ascii="Times New Roman" w:hAnsi="Times New Roman" w:cs="Times New Roman"/>
                <w:sz w:val="20"/>
                <w:szCs w:val="20"/>
              </w:rPr>
            </w:pPr>
            <w:r>
              <w:rPr>
                <w:rFonts w:hint="default" w:ascii="Times New Roman" w:hAnsi="Times New Roman" w:cs="Times New Roman"/>
                <w:sz w:val="20"/>
                <w:szCs w:val="20"/>
              </w:rPr>
              <w:t>FFS: content of monitoring outcome</w:t>
            </w:r>
          </w:p>
          <w:p w14:paraId="7BC758FB">
            <w:pPr>
              <w:widowControl w:val="0"/>
              <w:numPr>
                <w:ilvl w:val="0"/>
                <w:numId w:val="10"/>
              </w:numPr>
              <w:tabs>
                <w:tab w:val="left" w:pos="0"/>
                <w:tab w:val="clear" w:pos="-360"/>
              </w:tabs>
              <w:suppressAutoHyphens/>
              <w:spacing w:after="80"/>
              <w:ind w:left="72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FFS: Option B</w:t>
            </w:r>
          </w:p>
          <w:p w14:paraId="572CE2C4">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RAN1 agreements in RAN1#120bis meeting</w:t>
            </w:r>
          </w:p>
          <w:p w14:paraId="490D72F7">
            <w:pPr>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0"/>
                <w:highlight w:val="green"/>
                <w:lang w:val="en-US" w:eastAsia="zh-CN"/>
              </w:rPr>
              <w:t>Agreement</w:t>
            </w:r>
          </w:p>
          <w:p w14:paraId="324D89FA">
            <w:pPr>
              <w:suppressAutoHyphens/>
              <w:spacing w:after="80"/>
              <w:rPr>
                <w:rFonts w:hint="default" w:ascii="Times New Roman" w:hAnsi="Times New Roman" w:cs="Times New Roman"/>
                <w:sz w:val="20"/>
                <w:szCs w:val="20"/>
              </w:rPr>
            </w:pPr>
            <w:r>
              <w:rPr>
                <w:rFonts w:hint="default" w:ascii="Times New Roman" w:hAnsi="Times New Roman" w:cs="Times New Roman"/>
                <w:sz w:val="20"/>
                <w:szCs w:val="20"/>
              </w:rPr>
              <w:t>For model performance monitoring of AI/ML positioning Case 1, “FFS: content of monitoring outcome” in RAN1#119 agreement is resolved by:</w:t>
            </w:r>
          </w:p>
          <w:p w14:paraId="538013F6">
            <w:pPr>
              <w:widowControl w:val="0"/>
              <w:numPr>
                <w:ilvl w:val="0"/>
                <w:numId w:val="11"/>
              </w:numPr>
              <w:tabs>
                <w:tab w:val="left" w:pos="0"/>
                <w:tab w:val="left" w:pos="720"/>
              </w:tabs>
              <w:suppressAutoHyphens/>
              <w:spacing w:after="8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the content of monitoring outcome includes at least an indication that the target UE cannot perform the Case 1 positioning method.</w:t>
            </w:r>
          </w:p>
        </w:tc>
      </w:tr>
    </w:tbl>
    <w:p w14:paraId="4ED736D6">
      <w:pPr>
        <w:spacing w:after="180" w:line="240" w:lineRule="exact"/>
        <w:rPr>
          <w:rFonts w:hint="eastAsia" w:ascii="Times New Roman" w:hAnsi="Times New Roman" w:eastAsia="等线" w:cs="Times New Roman"/>
          <w:bCs/>
          <w:iCs/>
          <w:sz w:val="20"/>
          <w:szCs w:val="20"/>
          <w:lang w:val="en-US" w:eastAsia="zh-CN"/>
        </w:rPr>
      </w:pPr>
    </w:p>
    <w:p w14:paraId="1636D3FD">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LCM, RAN2 agreed that for UE-sided model, for the functionality management, the “network decision, network-initiated” AI/ML management is supported as a baseline. It means that there is interaction between network and UE, e.g. activation, deactivation, etc. It is necessary to discuss whether to define delay requirements.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532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4CC5B91">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in RAN2#129bis meeting</w:t>
            </w:r>
          </w:p>
          <w:p w14:paraId="44B5934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Agreements for positioning case 1</w:t>
            </w:r>
          </w:p>
          <w:p w14:paraId="1D5FD83C">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LMF is responsible for functionality management</w:t>
            </w:r>
          </w:p>
          <w:p w14:paraId="0A715926">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UE reports the applicable functionality to the LMF by the LPP provide capabilities message without any additional LMF control.</w:t>
            </w:r>
          </w:p>
          <w:p w14:paraId="1E7CD272">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Switching/fallback to non-AI/ML positioning can be supported by including multiple positioning methods in a LPP Request Location Information message. No additional specification work is foreseen specifically for supporting "switching/fallback operation".</w:t>
            </w:r>
          </w:p>
          <w:p w14:paraId="14F23068">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highlight w:val="cyan"/>
                <w:vertAlign w:val="baseline"/>
                <w:lang w:val="en-US" w:eastAsia="zh-CN"/>
              </w:rPr>
              <w:t>An AIML positioning functionality is considered “activated” once UE receives an LPP RequestLocationInformation from the LMF requesting inferred location information</w:t>
            </w:r>
            <w:r>
              <w:rPr>
                <w:rFonts w:hint="default" w:ascii="Times New Roman" w:hAnsi="Times New Roman" w:eastAsia="等线" w:cs="Times New Roman"/>
                <w:bCs/>
                <w:iCs/>
                <w:sz w:val="20"/>
                <w:szCs w:val="20"/>
                <w:vertAlign w:val="baseline"/>
                <w:lang w:val="en-US" w:eastAsia="zh-CN"/>
              </w:rPr>
              <w:t>.</w:t>
            </w:r>
          </w:p>
          <w:p w14:paraId="0FBF20FA">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triggered and periodical reporting, we rely on existing positioning framework mechanisms to deactivate AI/ML positioning (no spec impact is foreseen)</w:t>
            </w:r>
          </w:p>
        </w:tc>
      </w:tr>
    </w:tbl>
    <w:p w14:paraId="0CE0960B">
      <w:pPr>
        <w:spacing w:after="180" w:line="240" w:lineRule="exact"/>
        <w:rPr>
          <w:rFonts w:hint="default" w:ascii="Times New Roman" w:hAnsi="Times New Roman" w:eastAsia="等线" w:cs="Times New Roman"/>
          <w:bCs/>
          <w:iCs/>
          <w:sz w:val="20"/>
          <w:szCs w:val="20"/>
          <w:lang w:val="en-US" w:eastAsia="zh-CN"/>
        </w:rPr>
      </w:pPr>
    </w:p>
    <w:p w14:paraId="0CC14DF8">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eastAsia="等线" w:cs="Times New Roman"/>
          <w:b/>
          <w:bCs w:val="0"/>
          <w:i/>
          <w:iCs w:val="0"/>
          <w:sz w:val="20"/>
          <w:szCs w:val="20"/>
          <w:u w:val="none"/>
          <w:lang w:val="en-US" w:eastAsia="zh-CN"/>
        </w:rPr>
        <w:t xml:space="preserve">for case 1, it is proposed to define delay related requirements, e.g. </w:t>
      </w:r>
      <w:r>
        <w:rPr>
          <w:rFonts w:hint="eastAsia" w:ascii="Times New Roman" w:hAnsi="Times New Roman" w:eastAsia="等线" w:cs="Times New Roman"/>
          <w:b/>
          <w:bCs w:val="0"/>
          <w:i/>
          <w:iCs w:val="0"/>
          <w:sz w:val="20"/>
          <w:szCs w:val="20"/>
          <w:lang w:val="en-US" w:eastAsia="zh-CN"/>
        </w:rPr>
        <w:t>prediction delay, LCM related delay.</w:t>
      </w:r>
    </w:p>
    <w:p w14:paraId="3F8C8637">
      <w:pPr>
        <w:spacing w:after="180" w:line="240" w:lineRule="exact"/>
        <w:rPr>
          <w:rFonts w:hint="eastAsia" w:ascii="Times New Roman" w:hAnsi="Times New Roman" w:eastAsia="等线" w:cs="Times New Roman"/>
          <w:bCs/>
          <w:iCs/>
          <w:sz w:val="20"/>
          <w:szCs w:val="20"/>
          <w:lang w:val="en-US" w:eastAsia="zh-CN"/>
        </w:rPr>
      </w:pPr>
    </w:p>
    <w:p w14:paraId="34C6226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AC2D3A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RRM requirements for positioning. The proposals are:</w:t>
      </w:r>
    </w:p>
    <w:p w14:paraId="2FD6B05A">
      <w:pPr>
        <w:spacing w:after="180" w:line="240" w:lineRule="exact"/>
        <w:rPr>
          <w:rFonts w:hint="eastAsia" w:ascii="Times New Roman" w:hAnsi="Times New Roman"/>
          <w:b/>
          <w:bCs w:val="0"/>
          <w:i/>
          <w:iCs w:val="0"/>
          <w:sz w:val="20"/>
          <w:szCs w:val="20"/>
          <w:u w:val="none"/>
          <w:lang w:val="en-US" w:eastAsia="zh-CN"/>
        </w:rPr>
      </w:pPr>
      <w:r>
        <w:rPr>
          <w:rFonts w:hint="eastAsia" w:ascii="Times New Roman" w:hAnsi="Times New Roman" w:eastAsia="等线" w:cs="Times New Roman"/>
          <w:b/>
          <w:bCs w:val="0"/>
          <w:i/>
          <w:iCs w:val="0"/>
          <w:sz w:val="20"/>
          <w:szCs w:val="20"/>
          <w:u w:val="none"/>
          <w:lang w:val="en-US" w:eastAsia="zh-CN"/>
        </w:rPr>
        <w:t xml:space="preserve">Proposal 1: for case 1, it is proposed to define </w:t>
      </w:r>
      <w:r>
        <w:rPr>
          <w:rFonts w:hint="eastAsia" w:ascii="Times New Roman" w:hAnsi="Times New Roman"/>
          <w:b/>
          <w:bCs w:val="0"/>
          <w:i/>
          <w:iCs w:val="0"/>
          <w:sz w:val="20"/>
          <w:szCs w:val="20"/>
          <w:u w:val="none"/>
          <w:lang w:val="en-US" w:eastAsia="zh-CN"/>
        </w:rPr>
        <w:t>positioning accuracy requirement, which is the difference between ground truth (real position) and reported position.</w:t>
      </w:r>
    </w:p>
    <w:p w14:paraId="6F0F4781">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lang w:val="en-US" w:eastAsia="zh-CN"/>
        </w:rPr>
      </w:pPr>
      <w:r>
        <w:rPr>
          <w:rFonts w:hint="eastAsia" w:ascii="Times New Roman" w:hAnsi="Times New Roman"/>
          <w:b/>
          <w:bCs w:val="0"/>
          <w:i/>
          <w:iCs w:val="0"/>
          <w:sz w:val="20"/>
          <w:szCs w:val="20"/>
          <w:u w:val="none"/>
          <w:lang w:val="en-US" w:eastAsia="zh-CN"/>
        </w:rPr>
        <w:t xml:space="preserve">At least </w:t>
      </w:r>
      <w:r>
        <w:rPr>
          <w:rFonts w:hint="eastAsia" w:ascii="Times New Roman" w:hAnsi="Times New Roman" w:eastAsia="等线" w:cs="Times New Roman"/>
          <w:b/>
          <w:bCs w:val="0"/>
          <w:i/>
          <w:iCs w:val="0"/>
          <w:sz w:val="20"/>
          <w:szCs w:val="20"/>
          <w:u w:val="none"/>
          <w:lang w:val="en-US" w:eastAsia="zh-CN"/>
        </w:rPr>
        <w:t>accuracy requirements for indoor factory (InF) scenario can be defined</w:t>
      </w:r>
    </w:p>
    <w:p w14:paraId="5ACEC454">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eastAsia="等线" w:cs="Times New Roman"/>
          <w:b/>
          <w:bCs w:val="0"/>
          <w:i/>
          <w:iCs w:val="0"/>
          <w:sz w:val="20"/>
          <w:szCs w:val="20"/>
          <w:u w:val="none"/>
          <w:lang w:val="en-US" w:eastAsia="zh-CN"/>
        </w:rPr>
        <w:t xml:space="preserve">for case 1, it is proposed to define delay related requirements, e.g. </w:t>
      </w:r>
      <w:r>
        <w:rPr>
          <w:rFonts w:hint="eastAsia" w:ascii="Times New Roman" w:hAnsi="Times New Roman" w:eastAsia="等线" w:cs="Times New Roman"/>
          <w:b/>
          <w:bCs w:val="0"/>
          <w:i/>
          <w:iCs w:val="0"/>
          <w:sz w:val="20"/>
          <w:szCs w:val="20"/>
          <w:lang w:val="en-US" w:eastAsia="zh-CN"/>
        </w:rPr>
        <w:t>prediction delay, LCM related delay.</w:t>
      </w:r>
    </w:p>
    <w:p w14:paraId="3DB38B12">
      <w:pPr>
        <w:tabs>
          <w:tab w:val="left" w:pos="1134"/>
        </w:tabs>
        <w:spacing w:after="180" w:line="240" w:lineRule="exact"/>
        <w:rPr>
          <w:rFonts w:hint="eastAsia" w:ascii="Times New Roman" w:hAnsi="Times New Roman"/>
          <w:sz w:val="20"/>
          <w:szCs w:val="20"/>
        </w:rPr>
      </w:pPr>
    </w:p>
    <w:p w14:paraId="670EA780">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4B7F904">
      <w:pPr>
        <w:pStyle w:val="17"/>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22D4C8">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64B91DF0">
      <w:pPr>
        <w:pStyle w:val="17"/>
        <w:framePr w:wrap="auto" w:vAnchor="margin" w:hAnchor="text" w:yAlign="inline"/>
        <w:numPr>
          <w:ilvl w:val="0"/>
          <w:numId w:val="12"/>
        </w:numPr>
        <w:ind w:right="400"/>
        <w:jc w:val="both"/>
        <w:rPr>
          <w:rFonts w:ascii="Times" w:hAnsi="Times" w:eastAsia="宋体"/>
          <w:b w:val="0"/>
          <w:sz w:val="20"/>
          <w:lang w:eastAsia="zh-CN"/>
        </w:rPr>
      </w:pPr>
    </w:p>
    <w:p w14:paraId="7F827E88">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03D960E2">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the requirements for AI/ML air interfance, Qualcomm Incorporated</w:t>
      </w:r>
    </w:p>
    <w:p w14:paraId="4B1FD71B">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4401E20B">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597876BB">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46D50C2">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624C76E4">
      <w:pPr>
        <w:pStyle w:val="17"/>
        <w:framePr w:wrap="auto" w:vAnchor="margin" w:hAnchor="text" w:yAlign="inline"/>
        <w:numPr>
          <w:ilvl w:val="0"/>
          <w:numId w:val="12"/>
        </w:numPr>
        <w:ind w:right="400"/>
        <w:jc w:val="both"/>
        <w:rPr>
          <w:rFonts w:hint="eastAsia" w:ascii="Times" w:hAnsi="Times" w:eastAsia="宋体"/>
          <w:b w:val="0"/>
          <w:sz w:val="20"/>
          <w:lang w:val="en-US" w:eastAsia="zh-CN"/>
        </w:rPr>
      </w:pPr>
      <w:r>
        <w:rPr>
          <w:rFonts w:hint="eastAsia" w:ascii="Times" w:hAnsi="Times" w:eastAsia="宋体"/>
          <w:b w:val="0"/>
          <w:sz w:val="20"/>
          <w:lang w:eastAsia="zh-CN"/>
        </w:rPr>
        <w:t>R4-2406617, WF on AI/ML, Qualcomm Incorporated</w:t>
      </w:r>
    </w:p>
    <w:p w14:paraId="7EB926C9">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3GPP TR 38.843, Study on Artificial Intelligence (AI)/Machine Learning (ML) for NR air interface</w:t>
      </w:r>
    </w:p>
    <w:p w14:paraId="1D8BF47E">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R1-2405389</w:t>
      </w:r>
      <w:r>
        <w:rPr>
          <w:rFonts w:hint="eastAsia" w:ascii="Times" w:hAnsi="Times" w:eastAsia="宋体"/>
          <w:b w:val="0"/>
          <w:sz w:val="20"/>
          <w:lang w:val="en-US" w:eastAsia="zh-CN"/>
        </w:rPr>
        <w:t>, Summary #5 of specification support for positioning accuracy enhancement</w:t>
      </w:r>
    </w:p>
    <w:p w14:paraId="3CCD5916">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R4-2501758, </w:t>
      </w:r>
      <w:r>
        <w:rPr>
          <w:rFonts w:hint="eastAsia" w:ascii="Times" w:hAnsi="Times" w:eastAsia="宋体"/>
          <w:b w:val="0"/>
          <w:sz w:val="20"/>
          <w:lang w:eastAsia="zh-CN"/>
        </w:rPr>
        <w:t>On requirements for AI/ML based positioning</w:t>
      </w:r>
      <w:r>
        <w:rPr>
          <w:rFonts w:hint="eastAsia" w:ascii="Times" w:hAnsi="Times" w:eastAsia="宋体"/>
          <w:b w:val="0"/>
          <w:sz w:val="20"/>
          <w:lang w:val="en-US" w:eastAsia="zh-CN"/>
        </w:rPr>
        <w:t>, Ericsson</w:t>
      </w:r>
    </w:p>
    <w:p w14:paraId="3D012058">
      <w:pPr>
        <w:pStyle w:val="17"/>
        <w:framePr w:wrap="auto" w:vAnchor="margin" w:hAnchor="text" w:yAlign="inline"/>
        <w:ind w:right="400"/>
        <w:jc w:val="both"/>
        <w:rPr>
          <w:rFonts w:ascii="Times" w:hAnsi="Times" w:eastAsia="宋体"/>
          <w:b w:val="0"/>
          <w:sz w:val="20"/>
          <w:lang w:eastAsia="zh-CN"/>
        </w:rPr>
      </w:pPr>
    </w:p>
    <w:p w14:paraId="26B59D20">
      <w:pPr>
        <w:pStyle w:val="17"/>
        <w:framePr w:wrap="auto" w:vAnchor="margin" w:hAnchor="text" w:yAlign="inline"/>
        <w:ind w:right="400"/>
        <w:jc w:val="both"/>
        <w:rPr>
          <w:rFonts w:hint="eastAsia" w:ascii="Times" w:hAnsi="Times" w:eastAsia="宋体"/>
          <w:b w:val="0"/>
          <w:sz w:val="20"/>
          <w:lang w:val="en-US" w:eastAsia="zh-CN"/>
        </w:rPr>
      </w:pPr>
    </w:p>
    <w:p w14:paraId="3F29A040"/>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ms Rmn">
    <w:altName w:val="Segoe Print"/>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D44622A"/>
    <w:multiLevelType w:val="multilevel"/>
    <w:tmpl w:val="1D4462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E265A44"/>
    <w:multiLevelType w:val="multilevel"/>
    <w:tmpl w:val="1E265A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E98498F"/>
    <w:multiLevelType w:val="singleLevel"/>
    <w:tmpl w:val="3E98498F"/>
    <w:lvl w:ilvl="0" w:tentative="0">
      <w:start w:val="1"/>
      <w:numFmt w:val="bullet"/>
      <w:lvlText w:val=""/>
      <w:lvlJc w:val="left"/>
      <w:pPr>
        <w:ind w:left="420" w:hanging="420"/>
      </w:pPr>
      <w:rPr>
        <w:rFonts w:hint="default" w:ascii="Wingdings" w:hAnsi="Wingdings"/>
      </w:rPr>
    </w:lvl>
  </w:abstractNum>
  <w:abstractNum w:abstractNumId="7">
    <w:nsid w:val="4E850805"/>
    <w:multiLevelType w:val="multilevel"/>
    <w:tmpl w:val="4E850805"/>
    <w:lvl w:ilvl="0" w:tentative="0">
      <w:start w:val="1"/>
      <w:numFmt w:val="bullet"/>
      <w:lvlText w:val=""/>
      <w:lvlJc w:val="left"/>
      <w:pPr>
        <w:tabs>
          <w:tab w:val="left" w:pos="-360"/>
        </w:tabs>
        <w:ind w:left="360" w:hanging="360"/>
      </w:pPr>
      <w:rPr>
        <w:rFonts w:hint="default" w:ascii="Symbol" w:hAnsi="Symbol" w:cs="Symbol"/>
      </w:rPr>
    </w:lvl>
    <w:lvl w:ilvl="1" w:tentative="0">
      <w:start w:val="1"/>
      <w:numFmt w:val="bullet"/>
      <w:lvlText w:val="o"/>
      <w:lvlJc w:val="left"/>
      <w:pPr>
        <w:tabs>
          <w:tab w:val="left" w:pos="-360"/>
        </w:tabs>
        <w:ind w:left="1080" w:hanging="360"/>
      </w:pPr>
      <w:rPr>
        <w:rFonts w:hint="default"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FBB3F6D"/>
    <w:multiLevelType w:val="singleLevel"/>
    <w:tmpl w:val="7FBB3F6D"/>
    <w:lvl w:ilvl="0" w:tentative="0">
      <w:start w:val="1"/>
      <w:numFmt w:val="bullet"/>
      <w:lvlText w:val=""/>
      <w:lvlJc w:val="left"/>
      <w:pPr>
        <w:tabs>
          <w:tab w:val="left" w:pos="420"/>
        </w:tabs>
        <w:ind w:left="840" w:hanging="420"/>
      </w:pPr>
      <w:rPr>
        <w:rFonts w:hint="default" w:ascii="Wingdings" w:hAnsi="Wingdings"/>
      </w:rPr>
    </w:lvl>
  </w:abstractNum>
  <w:num w:numId="1">
    <w:abstractNumId w:val="10"/>
  </w:num>
  <w:num w:numId="2">
    <w:abstractNumId w:val="5"/>
  </w:num>
  <w:num w:numId="3">
    <w:abstractNumId w:val="3"/>
  </w:num>
  <w:num w:numId="4">
    <w:abstractNumId w:val="9"/>
  </w:num>
  <w:num w:numId="5">
    <w:abstractNumId w:val="8"/>
  </w:num>
  <w:num w:numId="6">
    <w:abstractNumId w:val="1"/>
  </w:num>
  <w:num w:numId="7">
    <w:abstractNumId w:val="4"/>
  </w:num>
  <w:num w:numId="8">
    <w:abstractNumId w:val="11"/>
  </w:num>
  <w:num w:numId="9">
    <w:abstractNumId w:val="6"/>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4DF8"/>
    <w:rsid w:val="08357123"/>
    <w:rsid w:val="08AC6809"/>
    <w:rsid w:val="0A12645E"/>
    <w:rsid w:val="0B5B2331"/>
    <w:rsid w:val="0C7C4062"/>
    <w:rsid w:val="0EC869C6"/>
    <w:rsid w:val="0FE50EF5"/>
    <w:rsid w:val="107F695B"/>
    <w:rsid w:val="11C112E5"/>
    <w:rsid w:val="15685863"/>
    <w:rsid w:val="157E7936"/>
    <w:rsid w:val="15C5068C"/>
    <w:rsid w:val="19AD6153"/>
    <w:rsid w:val="1A4B52AF"/>
    <w:rsid w:val="1AE254F2"/>
    <w:rsid w:val="1E7B3D90"/>
    <w:rsid w:val="244C222F"/>
    <w:rsid w:val="2D1359EF"/>
    <w:rsid w:val="308E7578"/>
    <w:rsid w:val="33BC18EF"/>
    <w:rsid w:val="3647586B"/>
    <w:rsid w:val="3A1815FF"/>
    <w:rsid w:val="3DEF01B7"/>
    <w:rsid w:val="3E1C72D0"/>
    <w:rsid w:val="3FC16E3E"/>
    <w:rsid w:val="40F55BB6"/>
    <w:rsid w:val="42426621"/>
    <w:rsid w:val="44A66B12"/>
    <w:rsid w:val="499F0AD6"/>
    <w:rsid w:val="4A685401"/>
    <w:rsid w:val="4D3D03C8"/>
    <w:rsid w:val="4F2B131D"/>
    <w:rsid w:val="54465BC6"/>
    <w:rsid w:val="548173AF"/>
    <w:rsid w:val="54E439E0"/>
    <w:rsid w:val="57D55747"/>
    <w:rsid w:val="5B8F5BBF"/>
    <w:rsid w:val="5C790B4E"/>
    <w:rsid w:val="5D210D3B"/>
    <w:rsid w:val="5D8142CB"/>
    <w:rsid w:val="5E3B51B9"/>
    <w:rsid w:val="60182E76"/>
    <w:rsid w:val="647D689B"/>
    <w:rsid w:val="667167B1"/>
    <w:rsid w:val="6D205895"/>
    <w:rsid w:val="6D303931"/>
    <w:rsid w:val="6E3077EF"/>
    <w:rsid w:val="6FA06BAE"/>
    <w:rsid w:val="6FCE1A42"/>
    <w:rsid w:val="704E733C"/>
    <w:rsid w:val="72A94019"/>
    <w:rsid w:val="75886832"/>
    <w:rsid w:val="76EE202A"/>
    <w:rsid w:val="783201C2"/>
    <w:rsid w:val="7C3F4164"/>
    <w:rsid w:val="7E980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List 2"/>
    <w:basedOn w:val="1"/>
    <w:unhideWhenUsed/>
    <w:qFormat/>
    <w:uiPriority w:val="99"/>
    <w:pPr>
      <w:ind w:left="100" w:leftChars="200" w:hanging="200" w:hangingChars="200"/>
      <w:contextualSpacing/>
    </w:pPr>
  </w:style>
  <w:style w:type="paragraph" w:styleId="9">
    <w:name w:val="Date"/>
    <w:basedOn w:val="1"/>
    <w:next w:val="1"/>
    <w:unhideWhenUsed/>
    <w:qFormat/>
    <w:uiPriority w:val="99"/>
    <w:pPr>
      <w:ind w:left="100" w:leftChars="2500"/>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1">
    <w:name w:val="List"/>
    <w:basedOn w:val="1"/>
    <w:unhideWhenUsed/>
    <w:qFormat/>
    <w:uiPriority w:val="99"/>
    <w:pPr>
      <w:ind w:left="200" w:hanging="200" w:hangingChars="200"/>
      <w:contextualSpacing/>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11"/>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9">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0">
    <w:name w:val="TAH"/>
    <w:basedOn w:val="21"/>
    <w:qFormat/>
    <w:uiPriority w:val="0"/>
    <w:rPr>
      <w:b/>
      <w:bCs/>
    </w:rPr>
  </w:style>
  <w:style w:type="paragraph" w:customStyle="1" w:styleId="21">
    <w:name w:val="TAC"/>
    <w:basedOn w:val="22"/>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22">
    <w:name w:val="TAL"/>
    <w:basedOn w:val="1"/>
    <w:qFormat/>
    <w:uiPriority w:val="0"/>
    <w:pPr>
      <w:keepNext/>
      <w:keepLines/>
      <w:widowControl/>
      <w:jc w:val="left"/>
    </w:pPr>
    <w:rPr>
      <w:rFonts w:ascii="Arial" w:hAnsi="Arial"/>
      <w:kern w:val="0"/>
      <w:sz w:val="18"/>
      <w:szCs w:val="20"/>
      <w:lang w:val="en-GB" w:eastAsia="en-US"/>
    </w:rPr>
  </w:style>
  <w:style w:type="table" w:customStyle="1" w:styleId="23">
    <w:name w:val="Table Grid6"/>
    <w:basedOn w:val="1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B2"/>
    <w:basedOn w:val="8"/>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5">
    <w:name w:val="B3"/>
    <w:basedOn w:val="1"/>
    <w:qFormat/>
    <w:uiPriority w:val="0"/>
    <w:pPr>
      <w:ind w:left="1135"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2025-05-09T08:30:35Z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